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514E" w14:textId="3A897D1B" w:rsidR="0020622B" w:rsidRPr="004772DC" w:rsidRDefault="0020622B" w:rsidP="0020622B">
      <w:pPr>
        <w:tabs>
          <w:tab w:val="left" w:pos="1134"/>
          <w:tab w:val="left" w:pos="2342"/>
          <w:tab w:val="left" w:pos="4536"/>
          <w:tab w:val="right" w:pos="8789"/>
        </w:tabs>
        <w:spacing w:before="360" w:beforeAutospacing="0" w:after="36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23071FFF" wp14:editId="450060AC">
                <wp:simplePos x="0" y="0"/>
                <wp:positionH relativeFrom="page">
                  <wp:posOffset>5551170</wp:posOffset>
                </wp:positionH>
                <wp:positionV relativeFrom="page">
                  <wp:posOffset>-2540</wp:posOffset>
                </wp:positionV>
                <wp:extent cx="1999615" cy="2268220"/>
                <wp:effectExtent l="0" t="0" r="2540" b="1270"/>
                <wp:wrapSquare wrapText="bothSides"/>
                <wp:docPr id="1492041207" name="Text Box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33B0C" w14:textId="77777777" w:rsidR="0020622B" w:rsidRDefault="0020622B" w:rsidP="0020622B"/>
                          <w:p w14:paraId="70DD2B26" w14:textId="77777777" w:rsidR="0020622B" w:rsidRDefault="0020622B" w:rsidP="002062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71FFF" id="_x0000_t202" coordsize="21600,21600" o:spt="202" path="m,l,21600r21600,l21600,xe">
                <v:stroke joinstyle="miter"/>
                <v:path gradientshapeok="t" o:connecttype="rect"/>
              </v:shapetype>
              <v:shape id="Text Box 46"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63633B0C" w14:textId="77777777" w:rsidR="0020622B" w:rsidRDefault="0020622B" w:rsidP="0020622B"/>
                    <w:p w14:paraId="70DD2B26" w14:textId="77777777" w:rsidR="0020622B" w:rsidRDefault="0020622B" w:rsidP="0020622B"/>
                  </w:txbxContent>
                </v:textbox>
                <w10:wrap type="square" anchorx="page" anchory="page"/>
                <w10:anchorlock/>
              </v:shape>
            </w:pict>
          </mc:Fallback>
        </mc:AlternateContent>
      </w:r>
      <w:r>
        <w:rPr>
          <w:b/>
          <w:bCs/>
          <w:sz w:val="28"/>
        </w:rPr>
        <w:t>REGISTRAR’S CERTIFICATE OF DISCLOSURE</w:t>
      </w:r>
    </w:p>
    <w:p w14:paraId="32B50AF5" w14:textId="77777777" w:rsidR="0020622B" w:rsidRPr="00081A0D" w:rsidRDefault="0020622B" w:rsidP="0020622B">
      <w:pPr>
        <w:tabs>
          <w:tab w:val="left" w:pos="1134"/>
          <w:tab w:val="left" w:pos="2342"/>
          <w:tab w:val="left" w:pos="4536"/>
          <w:tab w:val="right" w:pos="8789"/>
        </w:tabs>
        <w:spacing w:before="0" w:beforeAutospacing="0" w:after="0" w:afterAutospacing="0"/>
        <w:rPr>
          <w:bCs/>
          <w:sz w:val="22"/>
          <w:szCs w:val="22"/>
        </w:rPr>
      </w:pPr>
      <w:r w:rsidRPr="00081A0D">
        <w:rPr>
          <w:iCs/>
          <w:sz w:val="22"/>
          <w:szCs w:val="22"/>
        </w:rPr>
        <w:t>SUPREME</w:t>
      </w:r>
      <w:r w:rsidRPr="00081A0D">
        <w:rPr>
          <w:b/>
          <w:sz w:val="22"/>
          <w:szCs w:val="22"/>
        </w:rPr>
        <w:t xml:space="preserve"> </w:t>
      </w:r>
      <w:r w:rsidRPr="00081A0D">
        <w:rPr>
          <w:iCs/>
          <w:sz w:val="22"/>
          <w:szCs w:val="22"/>
        </w:rPr>
        <w:t xml:space="preserve">COURT </w:t>
      </w:r>
      <w:r w:rsidRPr="00081A0D">
        <w:rPr>
          <w:bCs/>
          <w:sz w:val="22"/>
          <w:szCs w:val="22"/>
        </w:rPr>
        <w:t>OF SOUTH AUSTRALIA</w:t>
      </w:r>
    </w:p>
    <w:p w14:paraId="667228F3" w14:textId="77777777" w:rsidR="0020622B" w:rsidRPr="00081A0D" w:rsidRDefault="0020622B" w:rsidP="0020622B">
      <w:pPr>
        <w:tabs>
          <w:tab w:val="left" w:pos="1134"/>
          <w:tab w:val="left" w:pos="2342"/>
          <w:tab w:val="left" w:pos="4536"/>
          <w:tab w:val="right" w:pos="8789"/>
        </w:tabs>
        <w:spacing w:before="0" w:beforeAutospacing="0" w:after="0" w:afterAutospacing="0"/>
        <w:rPr>
          <w:iCs/>
          <w:sz w:val="22"/>
          <w:szCs w:val="22"/>
        </w:rPr>
      </w:pPr>
      <w:r w:rsidRPr="00081A0D">
        <w:rPr>
          <w:iCs/>
          <w:sz w:val="22"/>
          <w:szCs w:val="22"/>
        </w:rPr>
        <w:t>TESTAMENTARY CAUSES JURISDICTION</w:t>
      </w:r>
    </w:p>
    <w:p w14:paraId="4499EB36" w14:textId="77777777" w:rsidR="0020622B" w:rsidRPr="00081A0D" w:rsidRDefault="0020622B" w:rsidP="0020622B">
      <w:pPr>
        <w:tabs>
          <w:tab w:val="left" w:pos="567"/>
          <w:tab w:val="left" w:pos="4536"/>
          <w:tab w:val="left" w:pos="6237"/>
          <w:tab w:val="right" w:pos="8931"/>
        </w:tabs>
        <w:spacing w:before="0" w:beforeAutospacing="0" w:after="200" w:afterAutospacing="0"/>
        <w:rPr>
          <w:b/>
          <w:bCs/>
          <w:sz w:val="22"/>
          <w:szCs w:val="22"/>
        </w:rPr>
      </w:pPr>
    </w:p>
    <w:p w14:paraId="5FE156E6" w14:textId="77777777" w:rsidR="0020622B" w:rsidRPr="00081A0D" w:rsidRDefault="0020622B" w:rsidP="0020622B">
      <w:pPr>
        <w:tabs>
          <w:tab w:val="left" w:pos="567"/>
          <w:tab w:val="left" w:pos="4536"/>
          <w:tab w:val="left" w:pos="6237"/>
          <w:tab w:val="right" w:pos="8931"/>
        </w:tabs>
        <w:spacing w:before="0" w:beforeAutospacing="0" w:after="0" w:afterAutospacing="0"/>
        <w:rPr>
          <w:b/>
          <w:bCs/>
          <w:color w:val="000000" w:themeColor="text1"/>
          <w:sz w:val="22"/>
          <w:szCs w:val="22"/>
        </w:rPr>
      </w:pPr>
      <w:r w:rsidRPr="00081A0D">
        <w:rPr>
          <w:b/>
          <w:bCs/>
          <w:color w:val="000000" w:themeColor="text1"/>
          <w:sz w:val="22"/>
          <w:szCs w:val="22"/>
        </w:rPr>
        <w:t>Action No:</w:t>
      </w:r>
    </w:p>
    <w:p w14:paraId="62CF9F0D" w14:textId="77777777" w:rsidR="0020622B" w:rsidRPr="00081A0D" w:rsidRDefault="0020622B" w:rsidP="0020622B">
      <w:pPr>
        <w:tabs>
          <w:tab w:val="left" w:pos="567"/>
          <w:tab w:val="left" w:pos="4536"/>
          <w:tab w:val="left" w:pos="6237"/>
          <w:tab w:val="right" w:pos="8931"/>
        </w:tabs>
        <w:spacing w:before="0" w:beforeAutospacing="0" w:after="0" w:afterAutospacing="0"/>
        <w:rPr>
          <w:b/>
          <w:bCs/>
          <w:color w:val="000000" w:themeColor="text1"/>
          <w:sz w:val="22"/>
          <w:szCs w:val="22"/>
        </w:rPr>
      </w:pPr>
    </w:p>
    <w:p w14:paraId="5215AC55" w14:textId="77777777" w:rsidR="0020622B" w:rsidRPr="00081A0D" w:rsidRDefault="0020622B" w:rsidP="0020622B">
      <w:pPr>
        <w:pBdr>
          <w:top w:val="single" w:sz="4" w:space="1" w:color="auto"/>
        </w:pBdr>
        <w:tabs>
          <w:tab w:val="left" w:pos="567"/>
          <w:tab w:val="left" w:pos="4536"/>
          <w:tab w:val="left" w:pos="6237"/>
          <w:tab w:val="right" w:pos="8931"/>
        </w:tabs>
        <w:spacing w:before="0" w:beforeAutospacing="0" w:after="0" w:afterAutospacing="0"/>
        <w:rPr>
          <w:b/>
          <w:bCs/>
          <w:color w:val="000000" w:themeColor="text1"/>
          <w:sz w:val="22"/>
          <w:szCs w:val="22"/>
        </w:rPr>
      </w:pPr>
    </w:p>
    <w:p w14:paraId="24812753" w14:textId="77777777" w:rsidR="0020622B" w:rsidRPr="00081A0D" w:rsidRDefault="0020622B" w:rsidP="0020622B">
      <w:pPr>
        <w:tabs>
          <w:tab w:val="left" w:pos="567"/>
          <w:tab w:val="left" w:pos="4536"/>
          <w:tab w:val="left" w:pos="6237"/>
          <w:tab w:val="right" w:pos="8931"/>
        </w:tabs>
        <w:spacing w:before="0" w:beforeAutospacing="0" w:after="120" w:afterAutospacing="0"/>
        <w:rPr>
          <w:b/>
          <w:bCs/>
          <w:color w:val="000000" w:themeColor="text1"/>
          <w:sz w:val="22"/>
          <w:szCs w:val="22"/>
        </w:rPr>
      </w:pPr>
      <w:r w:rsidRPr="00081A0D">
        <w:rPr>
          <w:b/>
          <w:bCs/>
          <w:color w:val="000000" w:themeColor="text1"/>
          <w:sz w:val="22"/>
          <w:szCs w:val="22"/>
        </w:rPr>
        <w:t>The Estate of [</w:t>
      </w:r>
      <w:r w:rsidRPr="00081A0D">
        <w:rPr>
          <w:b/>
          <w:bCs/>
          <w:i/>
          <w:iCs/>
          <w:color w:val="000000" w:themeColor="text1"/>
          <w:sz w:val="22"/>
          <w:szCs w:val="22"/>
        </w:rPr>
        <w:t>name of deceased</w:t>
      </w:r>
      <w:r w:rsidRPr="00081A0D">
        <w:rPr>
          <w:b/>
          <w:bCs/>
          <w:color w:val="000000" w:themeColor="text1"/>
          <w:sz w:val="22"/>
          <w:szCs w:val="22"/>
        </w:rPr>
        <w:t>]</w:t>
      </w:r>
      <w:r>
        <w:rPr>
          <w:b/>
          <w:bCs/>
          <w:color w:val="000000" w:themeColor="text1"/>
          <w:sz w:val="22"/>
          <w:szCs w:val="22"/>
        </w:rPr>
        <w:t>:</w:t>
      </w:r>
    </w:p>
    <w:p w14:paraId="09CE6AF4" w14:textId="77777777" w:rsidR="0020622B" w:rsidRPr="00081A0D" w:rsidRDefault="0020622B" w:rsidP="0020622B">
      <w:pPr>
        <w:tabs>
          <w:tab w:val="left" w:pos="567"/>
          <w:tab w:val="left" w:pos="4536"/>
          <w:tab w:val="left" w:pos="6237"/>
          <w:tab w:val="right" w:pos="8931"/>
        </w:tabs>
        <w:spacing w:before="0" w:beforeAutospacing="0" w:after="0" w:afterAutospacing="0"/>
        <w:rPr>
          <w:b/>
          <w:bCs/>
          <w:color w:val="000000" w:themeColor="text1"/>
          <w:sz w:val="22"/>
          <w:szCs w:val="22"/>
        </w:rPr>
      </w:pPr>
      <w:r w:rsidRPr="00081A0D">
        <w:rPr>
          <w:b/>
          <w:bCs/>
          <w:color w:val="000000" w:themeColor="text1"/>
          <w:sz w:val="22"/>
          <w:szCs w:val="22"/>
        </w:rPr>
        <w:t>Last residential address</w:t>
      </w:r>
      <w:r>
        <w:rPr>
          <w:b/>
          <w:bCs/>
          <w:color w:val="000000" w:themeColor="text1"/>
          <w:sz w:val="22"/>
          <w:szCs w:val="22"/>
        </w:rPr>
        <w:t>:</w:t>
      </w:r>
    </w:p>
    <w:p w14:paraId="4EE9D746" w14:textId="77777777" w:rsidR="0020622B" w:rsidRPr="00081A0D" w:rsidRDefault="0020622B" w:rsidP="0020622B">
      <w:pPr>
        <w:tabs>
          <w:tab w:val="left" w:pos="567"/>
          <w:tab w:val="left" w:pos="4536"/>
          <w:tab w:val="left" w:pos="6237"/>
          <w:tab w:val="right" w:pos="8931"/>
        </w:tabs>
        <w:spacing w:before="0" w:beforeAutospacing="0" w:after="0" w:afterAutospacing="0"/>
        <w:jc w:val="both"/>
        <w:rPr>
          <w:color w:val="000000" w:themeColor="text1"/>
          <w:sz w:val="22"/>
          <w:szCs w:val="22"/>
        </w:rPr>
      </w:pPr>
    </w:p>
    <w:p w14:paraId="7BF480F4" w14:textId="77777777" w:rsidR="0020622B" w:rsidRPr="00081A0D" w:rsidRDefault="0020622B" w:rsidP="0020622B">
      <w:pPr>
        <w:pBdr>
          <w:top w:val="single" w:sz="4" w:space="1" w:color="auto"/>
        </w:pBdr>
        <w:tabs>
          <w:tab w:val="left" w:pos="567"/>
          <w:tab w:val="left" w:pos="4536"/>
          <w:tab w:val="left" w:pos="6237"/>
          <w:tab w:val="right" w:pos="8931"/>
        </w:tabs>
        <w:spacing w:before="0" w:beforeAutospacing="0" w:after="0" w:afterAutospacing="0"/>
        <w:jc w:val="both"/>
        <w:rPr>
          <w:color w:val="000000" w:themeColor="text1"/>
          <w:sz w:val="22"/>
          <w:szCs w:val="22"/>
        </w:rPr>
      </w:pPr>
    </w:p>
    <w:p w14:paraId="6E03F963" w14:textId="77777777" w:rsidR="0020622B" w:rsidRPr="00081A0D" w:rsidRDefault="0020622B" w:rsidP="0020622B">
      <w:pPr>
        <w:spacing w:before="0" w:beforeAutospacing="0" w:after="240" w:afterAutospacing="0"/>
        <w:jc w:val="both"/>
        <w:rPr>
          <w:color w:val="000000" w:themeColor="text1"/>
          <w:sz w:val="22"/>
          <w:szCs w:val="22"/>
        </w:rPr>
      </w:pPr>
      <w:r w:rsidRPr="00081A0D">
        <w:rPr>
          <w:color w:val="000000" w:themeColor="text1"/>
          <w:sz w:val="22"/>
          <w:szCs w:val="22"/>
        </w:rPr>
        <w:t xml:space="preserve">I certify that the asset described hereunder in the name of the above deceased has been disclosed to the Court in compliance with section 71 of the </w:t>
      </w:r>
      <w:r w:rsidRPr="00081A0D">
        <w:rPr>
          <w:i/>
          <w:color w:val="000000" w:themeColor="text1"/>
          <w:sz w:val="22"/>
          <w:szCs w:val="22"/>
        </w:rPr>
        <w:t xml:space="preserve">Succession Act 2023 </w:t>
      </w:r>
      <w:r w:rsidRPr="00081A0D">
        <w:rPr>
          <w:iCs/>
          <w:color w:val="000000" w:themeColor="text1"/>
          <w:sz w:val="22"/>
          <w:szCs w:val="22"/>
        </w:rPr>
        <w:t>(SA)</w:t>
      </w:r>
      <w:r w:rsidRPr="00081A0D">
        <w:rPr>
          <w:color w:val="000000" w:themeColor="text1"/>
          <w:sz w:val="22"/>
          <w:szCs w:val="22"/>
        </w:rPr>
        <w:t>.</w:t>
      </w:r>
    </w:p>
    <w:p w14:paraId="298348C5" w14:textId="77777777" w:rsidR="0020622B" w:rsidRPr="00081A0D" w:rsidRDefault="0020622B" w:rsidP="0020622B">
      <w:pPr>
        <w:spacing w:before="0" w:beforeAutospacing="0" w:after="0" w:afterAutospacing="0"/>
        <w:rPr>
          <w:color w:val="000000" w:themeColor="text1"/>
          <w:sz w:val="22"/>
          <w:szCs w:val="22"/>
        </w:rPr>
      </w:pPr>
      <w:proofErr w:type="gramStart"/>
      <w:r w:rsidRPr="00081A0D">
        <w:rPr>
          <w:color w:val="000000" w:themeColor="text1"/>
          <w:sz w:val="22"/>
          <w:szCs w:val="22"/>
        </w:rPr>
        <w:t>Particulars of</w:t>
      </w:r>
      <w:proofErr w:type="gramEnd"/>
      <w:r w:rsidRPr="00081A0D">
        <w:rPr>
          <w:color w:val="000000" w:themeColor="text1"/>
          <w:sz w:val="22"/>
          <w:szCs w:val="22"/>
        </w:rPr>
        <w:t xml:space="preserve"> Asset:</w:t>
      </w:r>
    </w:p>
    <w:p w14:paraId="2C8B8682" w14:textId="77777777" w:rsidR="0020622B" w:rsidRPr="00081A0D" w:rsidRDefault="0020622B" w:rsidP="0020622B">
      <w:pPr>
        <w:spacing w:before="0" w:beforeAutospacing="0" w:after="240" w:afterAutospacing="0"/>
        <w:rPr>
          <w:color w:val="000000" w:themeColor="text1"/>
          <w:sz w:val="22"/>
          <w:szCs w:val="22"/>
        </w:rPr>
      </w:pPr>
      <w:r w:rsidRPr="00081A0D">
        <w:rPr>
          <w:color w:val="000000" w:themeColor="text1"/>
          <w:sz w:val="22"/>
          <w:szCs w:val="22"/>
        </w:rPr>
        <w:t>Value of Asset:</w:t>
      </w:r>
    </w:p>
    <w:p w14:paraId="7FB3F400" w14:textId="77777777" w:rsidR="0020622B" w:rsidRPr="00081A0D" w:rsidRDefault="0020622B" w:rsidP="0020622B">
      <w:pPr>
        <w:spacing w:before="0" w:beforeAutospacing="0" w:after="0" w:afterAutospacing="0"/>
        <w:jc w:val="both"/>
        <w:rPr>
          <w:color w:val="000000" w:themeColor="text1"/>
          <w:sz w:val="22"/>
          <w:szCs w:val="22"/>
        </w:rPr>
      </w:pPr>
      <w:r w:rsidRPr="00081A0D">
        <w:rPr>
          <w:color w:val="000000" w:themeColor="text1"/>
          <w:sz w:val="22"/>
          <w:szCs w:val="22"/>
        </w:rPr>
        <w:t>[</w:t>
      </w:r>
      <w:r w:rsidRPr="00081A0D">
        <w:rPr>
          <w:i/>
          <w:iCs/>
          <w:color w:val="000000" w:themeColor="text1"/>
          <w:sz w:val="22"/>
          <w:szCs w:val="22"/>
        </w:rPr>
        <w:t xml:space="preserve">Describe the asset exactly as it has been accurately disclosed in the amended Statement of Assets and Liabilities on </w:t>
      </w:r>
      <w:proofErr w:type="spellStart"/>
      <w:r w:rsidRPr="00866A2B">
        <w:rPr>
          <w:i/>
          <w:iCs/>
          <w:color w:val="000000" w:themeColor="text1"/>
          <w:sz w:val="22"/>
          <w:szCs w:val="22"/>
        </w:rPr>
        <w:t>CourtSA</w:t>
      </w:r>
      <w:proofErr w:type="spellEnd"/>
      <w:r w:rsidRPr="00866A2B">
        <w:rPr>
          <w:color w:val="000000" w:themeColor="text1"/>
          <w:sz w:val="22"/>
          <w:szCs w:val="22"/>
        </w:rPr>
        <w:t>]</w:t>
      </w:r>
    </w:p>
    <w:p w14:paraId="35A4AED8" w14:textId="77777777" w:rsidR="0020622B" w:rsidRPr="00081A0D" w:rsidRDefault="0020622B" w:rsidP="0020622B">
      <w:pPr>
        <w:tabs>
          <w:tab w:val="left" w:pos="567"/>
          <w:tab w:val="left" w:pos="4536"/>
          <w:tab w:val="left" w:pos="6237"/>
          <w:tab w:val="right" w:pos="8931"/>
        </w:tabs>
        <w:jc w:val="right"/>
        <w:rPr>
          <w:color w:val="000000" w:themeColor="text1"/>
          <w:sz w:val="22"/>
          <w:szCs w:val="22"/>
        </w:rPr>
      </w:pPr>
      <w:r w:rsidRPr="00081A0D">
        <w:rPr>
          <w:b/>
          <w:bCs/>
          <w:color w:val="000000" w:themeColor="text1"/>
          <w:sz w:val="22"/>
          <w:szCs w:val="22"/>
        </w:rPr>
        <w:t>Registrar of Probates</w:t>
      </w:r>
    </w:p>
    <w:p w14:paraId="09D45E47" w14:textId="77777777" w:rsidR="0020622B" w:rsidRPr="00081A0D" w:rsidRDefault="0020622B" w:rsidP="0020622B">
      <w:pPr>
        <w:tabs>
          <w:tab w:val="left" w:pos="567"/>
          <w:tab w:val="left" w:pos="4536"/>
          <w:tab w:val="left" w:pos="6237"/>
          <w:tab w:val="right" w:pos="8931"/>
        </w:tabs>
        <w:spacing w:before="0" w:beforeAutospacing="0" w:after="120" w:afterAutospacing="0"/>
        <w:rPr>
          <w:b/>
          <w:i/>
          <w:color w:val="000000" w:themeColor="text1"/>
          <w:sz w:val="20"/>
          <w:szCs w:val="20"/>
        </w:rPr>
      </w:pPr>
      <w:r w:rsidRPr="00081A0D">
        <w:rPr>
          <w:b/>
          <w:color w:val="000000" w:themeColor="text1"/>
          <w:sz w:val="20"/>
          <w:szCs w:val="20"/>
        </w:rPr>
        <w:t>Notes</w:t>
      </w:r>
    </w:p>
    <w:p w14:paraId="33317A0C" w14:textId="77777777" w:rsidR="0020622B" w:rsidRPr="00662B8E" w:rsidRDefault="0020622B" w:rsidP="0020622B">
      <w:pPr>
        <w:spacing w:before="0" w:beforeAutospacing="0" w:after="120" w:afterAutospacing="0"/>
        <w:ind w:left="1134" w:hanging="567"/>
        <w:jc w:val="both"/>
        <w:rPr>
          <w:sz w:val="20"/>
          <w:szCs w:val="20"/>
        </w:rPr>
      </w:pPr>
      <w:bookmarkStart w:id="0" w:name="Elkera_Print_TOC53"/>
      <w:bookmarkStart w:id="1" w:name="Elkera_Print_BK53"/>
      <w:r w:rsidRPr="00662B8E">
        <w:rPr>
          <w:sz w:val="20"/>
          <w:szCs w:val="20"/>
        </w:rPr>
        <w:t>1</w:t>
      </w:r>
      <w:r w:rsidRPr="00662B8E">
        <w:rPr>
          <w:sz w:val="20"/>
          <w:szCs w:val="20"/>
        </w:rPr>
        <w:tab/>
        <w:t>The Court will not issue a Registrar’s Certificate for an asset of a deceased person who died before 1 July 1987 (refer</w:t>
      </w:r>
      <w:r>
        <w:rPr>
          <w:sz w:val="20"/>
          <w:szCs w:val="20"/>
        </w:rPr>
        <w:t xml:space="preserve"> to the commencement date of</w:t>
      </w:r>
      <w:r w:rsidRPr="00662B8E">
        <w:rPr>
          <w:sz w:val="20"/>
          <w:szCs w:val="20"/>
        </w:rPr>
        <w:t xml:space="preserve"> section 121A</w:t>
      </w:r>
      <w:r>
        <w:rPr>
          <w:sz w:val="20"/>
          <w:szCs w:val="20"/>
        </w:rPr>
        <w:t xml:space="preserve"> of the</w:t>
      </w:r>
      <w:r w:rsidRPr="00662B8E">
        <w:rPr>
          <w:sz w:val="20"/>
          <w:szCs w:val="20"/>
        </w:rPr>
        <w:t xml:space="preserve"> </w:t>
      </w:r>
      <w:r w:rsidRPr="00662B8E">
        <w:rPr>
          <w:i/>
          <w:iCs/>
          <w:sz w:val="20"/>
          <w:szCs w:val="20"/>
        </w:rPr>
        <w:t>Administration and Probate Act 1919</w:t>
      </w:r>
      <w:r>
        <w:rPr>
          <w:sz w:val="20"/>
          <w:szCs w:val="20"/>
        </w:rPr>
        <w:t xml:space="preserve"> (SA))</w:t>
      </w:r>
      <w:r w:rsidRPr="00662B8E">
        <w:rPr>
          <w:sz w:val="20"/>
          <w:szCs w:val="20"/>
        </w:rPr>
        <w:t>.</w:t>
      </w:r>
    </w:p>
    <w:p w14:paraId="0C23F74E" w14:textId="77777777" w:rsidR="0020622B" w:rsidRPr="00662B8E" w:rsidRDefault="0020622B" w:rsidP="0020622B">
      <w:pPr>
        <w:spacing w:before="0" w:beforeAutospacing="0" w:after="120" w:afterAutospacing="0"/>
        <w:ind w:left="1134" w:hanging="567"/>
        <w:jc w:val="both"/>
        <w:rPr>
          <w:sz w:val="20"/>
          <w:szCs w:val="20"/>
        </w:rPr>
      </w:pPr>
      <w:r w:rsidRPr="00662B8E">
        <w:rPr>
          <w:sz w:val="20"/>
          <w:szCs w:val="20"/>
        </w:rPr>
        <w:t>2</w:t>
      </w:r>
      <w:r w:rsidRPr="00662B8E">
        <w:rPr>
          <w:sz w:val="20"/>
          <w:szCs w:val="20"/>
        </w:rPr>
        <w:tab/>
        <w:t xml:space="preserve">Section 72 of the </w:t>
      </w:r>
      <w:r w:rsidRPr="00662B8E">
        <w:rPr>
          <w:i/>
          <w:sz w:val="20"/>
          <w:szCs w:val="20"/>
        </w:rPr>
        <w:t>Succession Act 2023</w:t>
      </w:r>
      <w:r w:rsidRPr="00662B8E">
        <w:rPr>
          <w:sz w:val="20"/>
          <w:szCs w:val="20"/>
        </w:rPr>
        <w:t xml:space="preserve"> </w:t>
      </w:r>
      <w:bookmarkStart w:id="2" w:name="id8db5f999_884d_4874_b636_880794a864dd"/>
      <w:bookmarkEnd w:id="0"/>
      <w:bookmarkEnd w:id="1"/>
      <w:r>
        <w:rPr>
          <w:sz w:val="20"/>
          <w:szCs w:val="20"/>
        </w:rPr>
        <w:t xml:space="preserve">(SA) </w:t>
      </w:r>
      <w:r w:rsidRPr="00662B8E">
        <w:rPr>
          <w:sz w:val="20"/>
          <w:szCs w:val="20"/>
        </w:rPr>
        <w:t xml:space="preserve">obliges a person who deals with an asset of the estate of a deceased person that is required to be disclosed under </w:t>
      </w:r>
      <w:hyperlink w:anchor="id2a29e0a5_f99d_4f67_a62e_ebe6098470ad" w:history="1">
        <w:r w:rsidRPr="00662B8E">
          <w:rPr>
            <w:sz w:val="20"/>
            <w:szCs w:val="20"/>
          </w:rPr>
          <w:t>section</w:t>
        </w:r>
      </w:hyperlink>
      <w:r w:rsidRPr="00662B8E">
        <w:rPr>
          <w:sz w:val="20"/>
          <w:szCs w:val="20"/>
        </w:rPr>
        <w:t xml:space="preserve"> 71 to satisfy themselves by examination of the grant or of the Registrar's certificate, or on the basis of some other reliable evidence, that the asset has in fact been so disclosed to the Court.</w:t>
      </w:r>
    </w:p>
    <w:p w14:paraId="5AD30FC0" w14:textId="77777777" w:rsidR="0020622B" w:rsidRPr="00662B8E" w:rsidRDefault="0020622B" w:rsidP="0020622B">
      <w:pPr>
        <w:spacing w:before="0" w:beforeAutospacing="0" w:after="120" w:afterAutospacing="0"/>
        <w:ind w:left="1134" w:hanging="567"/>
        <w:jc w:val="both"/>
        <w:rPr>
          <w:sz w:val="20"/>
          <w:szCs w:val="20"/>
        </w:rPr>
      </w:pPr>
      <w:r w:rsidRPr="00662B8E">
        <w:rPr>
          <w:sz w:val="20"/>
          <w:szCs w:val="20"/>
        </w:rPr>
        <w:t>3</w:t>
      </w:r>
      <w:r w:rsidRPr="00662B8E">
        <w:rPr>
          <w:sz w:val="20"/>
          <w:szCs w:val="20"/>
        </w:rPr>
        <w:tab/>
        <w:t xml:space="preserve">A Registrar’s Certificate for disclosure of an asset will issue in </w:t>
      </w:r>
      <w:proofErr w:type="gramStart"/>
      <w:r w:rsidRPr="00662B8E">
        <w:rPr>
          <w:sz w:val="20"/>
          <w:szCs w:val="20"/>
        </w:rPr>
        <w:t>exactly the same</w:t>
      </w:r>
      <w:proofErr w:type="gramEnd"/>
      <w:r w:rsidRPr="00662B8E">
        <w:rPr>
          <w:sz w:val="20"/>
          <w:szCs w:val="20"/>
        </w:rPr>
        <w:t xml:space="preserve"> terms as the disclosure that has been made </w:t>
      </w:r>
      <w:r>
        <w:rPr>
          <w:sz w:val="20"/>
          <w:szCs w:val="20"/>
        </w:rPr>
        <w:t xml:space="preserve">on the Electronic System </w:t>
      </w:r>
      <w:r w:rsidRPr="00662B8E">
        <w:rPr>
          <w:sz w:val="20"/>
          <w:szCs w:val="20"/>
        </w:rPr>
        <w:t xml:space="preserve">under rule </w:t>
      </w:r>
      <w:r>
        <w:rPr>
          <w:sz w:val="20"/>
          <w:szCs w:val="20"/>
        </w:rPr>
        <w:t>35</w:t>
      </w:r>
      <w:r w:rsidRPr="00662B8E">
        <w:rPr>
          <w:sz w:val="20"/>
          <w:szCs w:val="20"/>
        </w:rPr>
        <w:t>6.17</w:t>
      </w:r>
      <w:r>
        <w:rPr>
          <w:sz w:val="20"/>
          <w:szCs w:val="20"/>
        </w:rPr>
        <w:t xml:space="preserve"> of Chapter 25 of the </w:t>
      </w:r>
      <w:r w:rsidRPr="00866A2B">
        <w:rPr>
          <w:i/>
          <w:iCs/>
          <w:sz w:val="20"/>
          <w:szCs w:val="20"/>
        </w:rPr>
        <w:t>Uniform Civil Rules</w:t>
      </w:r>
      <w:r>
        <w:rPr>
          <w:sz w:val="20"/>
          <w:szCs w:val="20"/>
        </w:rPr>
        <w:t xml:space="preserve"> </w:t>
      </w:r>
      <w:r w:rsidRPr="003B0CF5">
        <w:rPr>
          <w:i/>
          <w:iCs/>
          <w:sz w:val="20"/>
          <w:szCs w:val="20"/>
        </w:rPr>
        <w:t>2020</w:t>
      </w:r>
      <w:r w:rsidRPr="00662B8E">
        <w:rPr>
          <w:sz w:val="20"/>
          <w:szCs w:val="20"/>
        </w:rPr>
        <w:t xml:space="preserve">. </w:t>
      </w:r>
    </w:p>
    <w:p w14:paraId="6E101D3A" w14:textId="77777777" w:rsidR="0020622B" w:rsidRDefault="0020622B" w:rsidP="0020622B">
      <w:pPr>
        <w:pStyle w:val="NoteText"/>
        <w:spacing w:before="0" w:after="120"/>
        <w:ind w:left="1134" w:hanging="567"/>
        <w:rPr>
          <w:rFonts w:ascii="Arial" w:hAnsi="Arial" w:cs="Arial"/>
        </w:rPr>
      </w:pPr>
      <w:r w:rsidRPr="00662B8E">
        <w:rPr>
          <w:rFonts w:ascii="Arial" w:hAnsi="Arial" w:cs="Arial"/>
        </w:rPr>
        <w:t>4</w:t>
      </w:r>
      <w:r w:rsidRPr="00662B8E">
        <w:rPr>
          <w:rFonts w:ascii="Arial" w:hAnsi="Arial" w:cs="Arial"/>
        </w:rPr>
        <w:tab/>
        <w:t xml:space="preserve">Certificates do not have </w:t>
      </w:r>
      <w:proofErr w:type="spellStart"/>
      <w:r w:rsidRPr="00662B8E">
        <w:rPr>
          <w:rFonts w:ascii="Arial" w:hAnsi="Arial" w:cs="Arial"/>
        </w:rPr>
        <w:t>backsheets</w:t>
      </w:r>
      <w:proofErr w:type="spellEnd"/>
      <w:r w:rsidRPr="00662B8E">
        <w:rPr>
          <w:rFonts w:ascii="Arial" w:hAnsi="Arial" w:cs="Arial"/>
        </w:rPr>
        <w:t>.</w:t>
      </w:r>
      <w:bookmarkEnd w:id="2"/>
    </w:p>
    <w:p w14:paraId="7B3E2A29" w14:textId="77777777" w:rsidR="0020622B" w:rsidRDefault="0020622B" w:rsidP="0020622B">
      <w:pPr>
        <w:pStyle w:val="NoteHeader"/>
        <w:spacing w:before="0" w:after="120"/>
        <w:ind w:left="567"/>
        <w:jc w:val="both"/>
        <w:rPr>
          <w:rFonts w:ascii="Arial" w:hAnsi="Arial" w:cs="Arial"/>
        </w:rPr>
      </w:pPr>
    </w:p>
    <w:p w14:paraId="1AE45CE9" w14:textId="77777777" w:rsidR="0020622B" w:rsidRPr="005C1304" w:rsidRDefault="0020622B" w:rsidP="0020622B">
      <w:pPr>
        <w:pStyle w:val="NoteHeader"/>
        <w:spacing w:before="0" w:after="120"/>
        <w:ind w:left="567"/>
        <w:jc w:val="both"/>
        <w:rPr>
          <w:rFonts w:ascii="Arial" w:hAnsi="Arial" w:cs="Arial"/>
        </w:rPr>
      </w:pPr>
      <w:r w:rsidRPr="005C1304">
        <w:rPr>
          <w:rFonts w:ascii="Arial" w:hAnsi="Arial" w:cs="Arial"/>
        </w:rPr>
        <w:t>The Court makes no representations express or implied as to the descriptions and values ascribed to any asset or as to the mathematical accuracy of the disclosure.</w:t>
      </w:r>
    </w:p>
    <w:p w14:paraId="45CD0D6B" w14:textId="77777777" w:rsidR="0020622B" w:rsidRDefault="0020622B" w:rsidP="0020622B">
      <w:pPr>
        <w:tabs>
          <w:tab w:val="left" w:pos="1134"/>
          <w:tab w:val="left" w:pos="2342"/>
          <w:tab w:val="left" w:pos="4536"/>
          <w:tab w:val="right" w:pos="8789"/>
        </w:tabs>
        <w:overflowPunct w:val="0"/>
        <w:autoSpaceDE w:val="0"/>
        <w:autoSpaceDN w:val="0"/>
        <w:adjustRightInd w:val="0"/>
        <w:spacing w:before="0" w:beforeAutospacing="0" w:after="240" w:afterAutospacing="0"/>
        <w:textAlignment w:val="baseline"/>
        <w:rPr>
          <w:sz w:val="22"/>
          <w:szCs w:val="22"/>
        </w:rPr>
      </w:pPr>
    </w:p>
    <w:p w14:paraId="2122CB35" w14:textId="4D6E5A46" w:rsidR="00476074" w:rsidRPr="0020622B" w:rsidRDefault="00476074" w:rsidP="0020622B"/>
    <w:sectPr w:rsidR="00476074" w:rsidRPr="002062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1F19C7FE"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2B4334">
      <w:rPr>
        <w:b/>
        <w:bCs/>
        <w:sz w:val="20"/>
        <w:szCs w:val="20"/>
      </w:rPr>
      <w:t>4</w:t>
    </w:r>
    <w:r w:rsidR="0020622B">
      <w:rPr>
        <w:b/>
        <w:bCs/>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B5D1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3242D59"/>
    <w:multiLevelType w:val="hybridMultilevel"/>
    <w:tmpl w:val="FFFFFFFF"/>
    <w:lvl w:ilvl="0" w:tplc="0C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385837BB"/>
    <w:multiLevelType w:val="hybridMultilevel"/>
    <w:tmpl w:val="FFFFFFFF"/>
    <w:lvl w:ilvl="0" w:tplc="FFFFFFF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49B55AA0"/>
    <w:multiLevelType w:val="hybridMultilevel"/>
    <w:tmpl w:val="FFFFFFFF"/>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5" w15:restartNumberingAfterBreak="0">
    <w:nsid w:val="4D8A6C49"/>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43004301">
    <w:abstractNumId w:val="0"/>
  </w:num>
  <w:num w:numId="2" w16cid:durableId="383023783">
    <w:abstractNumId w:val="4"/>
  </w:num>
  <w:num w:numId="3" w16cid:durableId="633487164">
    <w:abstractNumId w:val="2"/>
  </w:num>
  <w:num w:numId="4" w16cid:durableId="376010767">
    <w:abstractNumId w:val="1"/>
  </w:num>
  <w:num w:numId="5" w16cid:durableId="514273947">
    <w:abstractNumId w:val="3"/>
  </w:num>
  <w:num w:numId="6" w16cid:durableId="879783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55E6D"/>
    <w:rsid w:val="001C16A9"/>
    <w:rsid w:val="0020622B"/>
    <w:rsid w:val="00287181"/>
    <w:rsid w:val="002B4334"/>
    <w:rsid w:val="00335747"/>
    <w:rsid w:val="00367532"/>
    <w:rsid w:val="00376B6D"/>
    <w:rsid w:val="003C6C39"/>
    <w:rsid w:val="003F3A8D"/>
    <w:rsid w:val="004316BF"/>
    <w:rsid w:val="00476074"/>
    <w:rsid w:val="0048585B"/>
    <w:rsid w:val="00496AC0"/>
    <w:rsid w:val="005A397E"/>
    <w:rsid w:val="005B361A"/>
    <w:rsid w:val="005D02DA"/>
    <w:rsid w:val="00633ECF"/>
    <w:rsid w:val="00657D20"/>
    <w:rsid w:val="0068632F"/>
    <w:rsid w:val="0069709F"/>
    <w:rsid w:val="006C5274"/>
    <w:rsid w:val="00710B67"/>
    <w:rsid w:val="00755971"/>
    <w:rsid w:val="00783756"/>
    <w:rsid w:val="007916C2"/>
    <w:rsid w:val="00891385"/>
    <w:rsid w:val="008D2376"/>
    <w:rsid w:val="0094491B"/>
    <w:rsid w:val="00966A68"/>
    <w:rsid w:val="00983CC1"/>
    <w:rsid w:val="009B397E"/>
    <w:rsid w:val="009E5A48"/>
    <w:rsid w:val="00A2182D"/>
    <w:rsid w:val="00A477DF"/>
    <w:rsid w:val="00A679F9"/>
    <w:rsid w:val="00AA62B3"/>
    <w:rsid w:val="00AF0C78"/>
    <w:rsid w:val="00B051B1"/>
    <w:rsid w:val="00B35968"/>
    <w:rsid w:val="00B7415A"/>
    <w:rsid w:val="00BF78C2"/>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 w:type="paragraph" w:customStyle="1" w:styleId="NoteHeader">
    <w:name w:val="NoteHeader"/>
    <w:basedOn w:val="Normal"/>
    <w:qFormat/>
    <w:rsid w:val="0020622B"/>
    <w:pPr>
      <w:autoSpaceDE w:val="0"/>
      <w:autoSpaceDN w:val="0"/>
      <w:adjustRightInd w:val="0"/>
      <w:spacing w:before="120" w:beforeAutospacing="0" w:after="0" w:afterAutospacing="0"/>
      <w:ind w:left="1134"/>
    </w:pPr>
    <w:rPr>
      <w:rFonts w:ascii="Times New Roman" w:hAnsi="Times New Roman" w:cs="Times New Roman"/>
      <w:b/>
      <w:bCs/>
      <w:sz w:val="20"/>
      <w:szCs w:val="20"/>
    </w:rPr>
  </w:style>
  <w:style w:type="paragraph" w:customStyle="1" w:styleId="NoteText">
    <w:name w:val="NoteText"/>
    <w:basedOn w:val="Normal"/>
    <w:qFormat/>
    <w:rsid w:val="0020622B"/>
    <w:pPr>
      <w:autoSpaceDE w:val="0"/>
      <w:autoSpaceDN w:val="0"/>
      <w:adjustRightInd w:val="0"/>
      <w:spacing w:before="120" w:beforeAutospacing="0" w:after="0" w:afterAutospacing="0"/>
      <w:ind w:left="141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2024-11-20T02:30:00Z</dcterms:created>
  <dcterms:modified xsi:type="dcterms:W3CDTF">2024-11-20T02:30:00Z</dcterms:modified>
</cp:coreProperties>
</file>